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Prot. N. ________/_________                                                      Pontedera, lì _____/_____/________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7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8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 inoltro al competente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Oggetto: richiesta intervento di manutenzione.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Plesso / Sede di via _______________________________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5098"/>
        <w:tblGridChange w:id="0">
          <w:tblGrid>
            <w:gridCol w:w="5098"/>
            <w:gridCol w:w="50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Intervento di: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Manutenzione ordinaria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Manutenzione straordinaria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Arredi / attrezzature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Urgenza: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Massima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Minima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Il responsabile di plesso/sede</w:t>
      </w:r>
    </w:p>
    <w:p w:rsidR="00000000" w:rsidDel="00000000" w:rsidP="00000000" w:rsidRDefault="00000000" w:rsidRPr="00000000" w14:paraId="0000002B">
      <w:pPr>
        <w:spacing w:before="28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C">
      <w:pPr>
        <w:spacing w:before="28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(firma leggibile)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Verdana"/>
  <w:font w:name="Courier New"/>
  <w:font w:name="Noto Sans Symbols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1"/>
      <w:numPr>
        <w:ilvl w:val="0"/>
        <w:numId w:val="3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dg8WSQcqek+0avVuUEqbjWx1A==">AMUW2mWgM9+CP5g+N541NrTZxgqX42npN9kb3VRX13PdCvnH0Og1ekaSYEW0mWByIkOaE0NgSk+tPbmpdH3f+yIhBOLyIuQeNmgQuBGL2JZxcCJ0W3JI1yI=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2021-10-22T10:06:00Z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